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235 vom 5. September 2018</w:t>
      </w:r>
    </w:p>
    <w:p>
      <w:r>
        <w:t>BE Verwaltungsgericht, 2018-09-05, DE</w:t>
      </w:r>
    </w:p>
    <w:p>
      <w:r>
        <w:rPr>
          <w:b/>
        </w:rPr>
        <w:t xml:space="preserve">Quelle: </w:t>
      </w:r>
      <w:r>
        <w:t>https://mcp.opencaselaw.ch/entscheid/be_verwaltungsgericht_100 2018 235</w:t>
      </w:r>
    </w:p>
    <w:p>
      <w:r>
        <w:t>FR: BE_VERWALTUNGSGERICHT 100 2018 235 du 5 septembre 2018</w:t>
      </w:r>
    </w:p>
    <w:p>
      <w:r>
        <w:t>IT: BE_VERWALTUNGSGERICHT 100 2018 235 del 5 settembre 2018</w:t>
      </w:r>
    </w:p>
    <w:p>
      <w:pPr>
        <w:pStyle w:val="Heading2"/>
      </w:pPr>
      <w:r>
        <w:t>Erwägungen</w:t>
      </w:r>
    </w:p>
    <w:p>
      <w:r>
        <w:rPr>
          <w:b/>
        </w:rPr>
        <w:t>E. 1.1</w:t>
      </w:r>
    </w:p>
    <w:p>
      <w:r>
        <w:t>Der Entscheid in der Sache ist ebenso wie das Verfahren grund- sätzlich auf den Streitgegenstand begrenzt. Dieser bezeichnet im Be- schwerdeverfahren den Umfang, in dem das mit der angefochtenen Verfü- gung geregelte Rechtsverhältnis umstritten ist. Zur Bestimmung des Streit- gegenstands ist somit von der angefochtenen Verfügung, dem sog. An- fechtungsobjekt, auszugehen. Dieses gibt den Rahmen des Streitgegen- stands vor, der nicht über das hinausgehen kann, was die Vorinstanz gere-</w:t>
      </w:r>
    </w:p>
    <w:p>
      <w:r>
        <w:t>Urteil des Verwaltungsgerichts des Kantons Bern vom 05.09.2018, Nrn. 100.2018.235/ 236U, Seite 4 gelt hat oder hätte regeln sollen (BVR 2017 S. 514 E. 1.2, 2011 S. 391 E. 2.1 mit Hinweisen; Merkli/Aeschlimann/Herzog, Kommentar zum berni- schen VRPG, 1997, Art. 72 N. 6 f.).</w:t>
      </w:r>
    </w:p>
    <w:p>
      <w:r>
        <w:rPr>
          <w:b/>
        </w:rPr>
        <w:t>E. 1.2</w:t>
      </w:r>
    </w:p>
    <w:p>
      <w:r>
        <w:t>Angefochten ist die Verfügung der StRK vom 28. Juni 2018, mit der sie das Gesuch um erneute Sistierung der bei ihr hängigen Nachsteuerver- fahren 2004-2007 abgewiesen hat. Gegenstand des vorliegenden Ver- fahrens bildet damit entgegen den Ausführungen in der Beschwerde (Rz. A/1) nicht die Aufhebung der Sistierung – die entsprechende Verfü- gung ist unangefochten geblieben (vgl. vorne Bst. B) –, sondern die Weige- rung der Vorinstanz, die Sistierung wieder anzuordnen. In Bezug auf die nachfolgend zu prüfenden Eintretensvoraussetzungen spielt indes keine Rolle, ob die Wiederaufnahme oder die ablehnte (erneute) Sistierung des Verfahrens angefochten ist.</w:t>
      </w:r>
    </w:p>
    <w:p>
      <w:r>
        <w:rPr>
          <w:b/>
        </w:rPr>
        <w:t>E. 1.3</w:t>
      </w:r>
    </w:p>
    <w:p>
      <w:r>
        <w:t>Verfügungen über die Einstellung von Verfahren stellen verfahrens- leitende Zwischenverfügungen dar (vgl. Art. 151 des Steuergesetzes vom 21. Mai 2000 [StG; BSG 661.11] i.V.m. Art. 61 Abs. 1 Bst. c und Art. 38 des Gesetzes vom 23. Mai 1989 über die Verwaltungsrechtspflege [VRPG; BSG 155.21]). Sie sind als solche dann beim Verwaltungsgericht anfecht- bar, wenn die Verwaltungsgerichtsbeschwerde in der Hauptsache zulässig ist (Umkehrschluss aus Art. 75 Bst. a VRPG), was hier zutrifft: Das Verwal- tungsgericht ist zur Beurteilung von Beschwerden betreffend Nachsteuern als letzte kantonale Instanz gemäss Art. 74 Abs. 1 i.V.m. Art. 76 und 77 VRPG zuständig (vgl. auch Art. 201 Abs. 1 StG und Art. 145 des Bundes- gesetzes vom 14. Dezember 1990 über die direkte Bundessteuer [DBG; SR 642.11] sowie Art. 9 Abs. 3 der Verordnung vom 18. Oktober 2000 über den Vollzug der direkten Bundessteuer [BStV; BSG 668.11]).</w:t>
      </w:r>
    </w:p>
    <w:p>
      <w:r>
        <w:rPr>
          <w:b/>
        </w:rPr>
        <w:t>E. 1.4</w:t>
      </w:r>
    </w:p>
    <w:p>
      <w:r>
        <w:t>Allerdings setzt die selbständige Anfechtung von Zwischenverfügun- gen, die nicht Fragen der Zuständigkeit oder des Ausstands bzw. der Ab- lehnung beschlagen, voraus, dass die betreffenden Verfügungen entweder einen nicht wieder gutzumachenden Nachteil bewirken können oder aber die Gutheissung der Beschwerden sofort Endentscheide herbeiführen und damit einen bedeutenden Aufwand an Zeit oder Kosten für ein weitläufiges Beweisverfahren ersparen würden (Art. 74 Abs. 3 i.V.m. Art. 61 Abs. 2 und</w:t>
      </w:r>
    </w:p>
    <w:p>
      <w:r>
        <w:rPr>
          <w:b/>
        </w:rPr>
        <w:t>E. 1.5</w:t>
      </w:r>
    </w:p>
    <w:p>
      <w:r>
        <w:t>Der Beschwerdeführer macht nicht geltend, die Gutheissung der Beschwerden würde sofort Endentscheide herbeiführen und damit bedeu- tenden Aufwand an Zeit oder Kosten für ein weitläufiges Beweisverfahren ersparen. Er begründet die selbständige Anfechtbarkeit der angefochtenen Verfügung vielmehr damit, dass die Aufhebung der Sistierung bzw. die nicht angeordnete erneute Einstellung einen nicht wieder gutzumachenden Nachteil bewirke. Ein solcher liege insofern vor, als Erkenntnisse aus dem Nachsteuerverfahren das parallel laufende Strafsteuerverfahren zu seinen Ungunsten beeinflussen könnten, und zwar unabhängig davon, in welchem Verfahrensstadium sich letzteres derzeit befinde. Anders als das Steuer- hinterziehungsverfahren sei das Nachsteuerverfahren grundsätzlich von der Mitwirkungspflicht der steuerpflichtigen Person beherrscht. Sofern die StRK im Nachsteuerverfahren den Sachverhalt gestützt auf diesen Grund- satz ermittle, ohne der für das Strafsteuerverfahren und das kombinierte Verfahren geltenden Unschuldsvermutung Rechnung zu tragen, sei «die Wiederaufnahme der Nachsteuerverfahren geeignet […], Endentscheide in der Sache herbeizuführen, welche sich für den Beschwerdeführer negativ auf das parallel laufende Steuerstrafverfahren auswirken und deshalb die [strafprozessualen] Verfahrensgarantien […] verletzen» könnten (vgl. Be- schwerde insb. Rz. A/3 und A/18).</w:t>
      </w:r>
    </w:p>
    <w:p>
      <w:r>
        <w:t>Urteil des Verwaltungsgerichts des Kantons Bern vom 05.09.2018, Nrn. 100.2018.235/ 236U, Seite 6</w:t>
      </w:r>
    </w:p>
    <w:p>
      <w:r>
        <w:rPr>
          <w:b/>
        </w:rPr>
        <w:t>E. 1.6</w:t>
      </w:r>
    </w:p>
    <w:p>
      <w:r>
        <w:t>Mit diesen Vorbringen vermag der Beschwerdeführer keinen nicht wieder gutzumachenden Nachteil im Sinn von Art. 74 Abs. 3 i.V.m. Art. 61 Abs. 3 VRPG glaubhaft zu machen. Beweismittel aus einem Nachsteuer- verfahren dürfen in einem Strafverfahren wegen Steuerhinterziehung nur dann verwendet werden, wenn sie weder unter Androhung einer Veranla- gung nach pflichtgemässem Ermessen noch unter Androhung einer Busse wegen Verletzung von Verfahrenspflichten beschafft wurden (Art. 227 Abs. 4 StG; Art. 183 Abs. 1bis DBG). Der Beschwerdeführer unterlässt es, seine Behauptung, allfällige (neue) Erkenntnisse aus dem wieder aufge- nommenen Nachsteuerverfahren könnten entgegen diesem Grundsatz die vor dem Bundesgericht hängigen Strafsteuerverfahren zu seinen Unguns- ten beeinflussen, auch nur ansatzweise näher auszuführen und zu begrün- den. Seine Befürchtung, die Wiederaufnahme der Nachsteuerverfahren könnte letztlich zu einer Verletzung der strafprozessualen Verfahrensga- rantien führen, erweist sich bei den hier interessierenden Gegebenheiten als haltlos, weshalb sich Weiterungen dazu erübrigen (vgl. etwa BGer 2C_802/2014 vom 23.9.2014 E. 2.1, 2C_175/2010 vom 21.7.2010 E. 2.4). Soweit der Beschwerdeführer der Steuerverwaltung vorwirft, sie habe bei der Sachverhaltsfeststellung die für kombinierte Verfahren geltenden Verfahrensvorschriften missachtet und insbesondere Art. 32 Abs. 1 der Bundesverfassung (BV; SR 101) und Art. 6 Ziff. 1 der Euro- päischen Menschenrechtskonvention (EMRK; SR 0.101) verletzt (vgl. Be- schwerde Rz. A/14 ff.), ist auf die entsprechenden Ausführungen im Urteil des Verwaltungsgerichts betreffend die Steuerbussen zu verweisen (VGE 2016/257/258 vom 12.6.2018 E. 3 und 4). Die zum wiederholten Mal vorgebrachten Rügen sind von vornherein nicht geeignet, einen Nachteil glaubhaft zu machen, der durch die angefochtene Verfügung bewirkt wird. Andere nicht wiedergutzumachende Nachteile sind weder glaubhaft gemacht noch ersichtlich. Die Voraussetzungen gemäss Art. 74 Abs. 3 i.V.m. Art. 61 Abs. 3 VRPG für die selbständige Anfechtung der Zwischenverfügung vom 28. Juni 2018 sind mithin nicht erfüllt. Auf die Be- schwerden ist deshalb nicht einzutreten.</w:t>
      </w:r>
    </w:p>
    <w:p>
      <w:r>
        <w:rPr>
          <w:b/>
        </w:rPr>
        <w:t>E. 1.7</w:t>
      </w:r>
    </w:p>
    <w:p>
      <w:r>
        <w:t>Sind sowohl Entscheide bezüglich der Kantons- und Gemeindesteu- ern als auch der direkten Bundessteuer angefochten, so muss das Verwal- tungsgericht zwei Urteile fällen, zumal es sich um zwei verschiedene Steu-</w:t>
      </w:r>
    </w:p>
    <w:p>
      <w:r>
        <w:t>Urteil des Verwaltungsgerichts des Kantons Bern vom 05.09.2018, Nrn. 100.2018.235/ 236U, Seite 7 ern handelt, die unterschiedlichen Gemeinwesen zustehen und in getrenn- ten Verfahren veranlagt werden. Allerdings können die Entscheide in ein und derselben Urteilsschrift getroffen werden (vgl. BGE 135 II 260 E. 1.3.1, 130 II 509 E. 8.3).</w:t>
      </w:r>
    </w:p>
    <w:p>
      <w:r>
        <w:rPr>
          <w:b/>
        </w:rPr>
        <w:t>E. 1.8</w:t>
      </w:r>
    </w:p>
    <w:p>
      <w:r>
        <w:t>Gemäss Art. 57 Abs. 2 Bst. b des Gesetzes vom 11. Juni 2009 über die Organisation der Gerichtsbehörden und der Staatsanwaltschaft (GSOG; BSG 161.1) fällt die Beurteilung von Beschwerden gegen Zwi- schenverfügungen in die einzelrichterliche Zuständigkeit. 2. Bei diesem Ausgang des Verfahrens hat der unterliegende Beschwerdefüh- rer die Kosten des verwaltungsgerichtlichen Verfahrens zu tragen (Art. 151 StG i.V.m. Art. 108 Abs. 1 VRPG; Art. 145 Abs. 2 i.V.m. Art. 144 Abs. 1 DBG). Parteikosten sind keine zu sprechen (Art. 151 StG i.V.m. Art. 108 Abs. 3 i.V.m. Art. 104 Abs. 3 VRPG; Art. 145 Abs. 2 i.V.m. Art. 144 Abs. 4 DBG und Art. 64 Abs. 1 des Bundesgesetzes vom 20. Dezember 1968 über das Verwaltungsverfahren [Verwaltungsverfahrensgesetz, VwVG; SR 172.021]). Demnach entscheidet die Einzelrichterin:</w:t>
      </w:r>
    </w:p>
    <w:p>
      <w:r>
        <w:rPr>
          <w:b/>
        </w:rPr>
        <w:t>E. 3</w:t>
      </w:r>
    </w:p>
    <w:p>
      <w:r>
        <w:t>VRPG). Falls keine dieser Voraussetzungen gegeben ist, sind sie nur ge-</w:t>
      </w:r>
    </w:p>
    <w:p>
      <w:r>
        <w:t>Urteil des Verwaltungsgerichts des Kantons Bern vom 05.09.2018, Nrn. 100.2018.235/ 236U, Seite 5 meinsam mit den Endentscheiden anfechtbar, soweit sich ihr Inhalt noch auf diese auswirkt (Art. 74 Abs. 3 i.V.m. Art. 61 Abs. 4 VRPG). Ein nicht wieder gutzumachender Nachteil wird praxisgemäss bejaht, wenn die an- fechtende Person ein schutzwürdiges Interesse an der sofortigen Aufhe- bung oder Abänderung der Zwischenentscheide hat, wobei kein irrepara- bler Schaden erforderlich ist. Ein hinreichendes Rechtsschutzinteresse an einer sofortigen Anfechtung ist bereits dann gegeben, wenn günstige End- entscheide für die betroffene Person nicht jeden Nachteil zu beseitigen ver- mögen. Dabei genügt auch ein tatsächliches – etwa bloss wirtschaftliches – Interesse, soweit es für die betroffene Person nicht nur darum geht, eine Verteuerung oder eine aus wirtschaftlicher Sicht ungünstige Verlängerung des Verfahrens zu verhindern. Der nicht wieder gutzumachende Nachteil muss in jedem Fall dargetan sein, wobei das Glaubhaftmachen genügt (zum Ganzen BVR 2017 S. 205 E. 1.3, 2016 S. 237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